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4E7FE0" w:rsidRDefault="00E15C74" w:rsidP="004E7FE0">
      <w:pPr>
        <w:spacing w:line="360" w:lineRule="auto"/>
        <w:jc w:val="both"/>
        <w:rPr>
          <w:rFonts w:ascii="Times New Roman" w:hAnsi="Times New Roman" w:cs="Times New Roman"/>
          <w:b/>
        </w:rPr>
      </w:pPr>
      <w:r w:rsidRPr="004E7FE0">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4E7FE0">
        <w:trPr>
          <w:trHeight w:val="977"/>
        </w:trPr>
        <w:tc>
          <w:tcPr>
            <w:tcW w:w="3062" w:type="dxa"/>
          </w:tcPr>
          <w:p w:rsidR="00BA178E" w:rsidRPr="004E7FE0" w:rsidRDefault="00E15C74" w:rsidP="004E7FE0">
            <w:pPr>
              <w:spacing w:line="360" w:lineRule="auto"/>
              <w:jc w:val="both"/>
              <w:rPr>
                <w:rFonts w:ascii="Times New Roman" w:hAnsi="Times New Roman" w:cs="Times New Roman"/>
                <w:b/>
                <w:bCs/>
              </w:rPr>
            </w:pPr>
            <w:r w:rsidRPr="004E7FE0">
              <w:rPr>
                <w:rFonts w:ascii="Times New Roman" w:hAnsi="Times New Roman" w:cs="Times New Roman"/>
                <w:b/>
                <w:bCs/>
              </w:rPr>
              <w:t>Article Number:</w:t>
            </w:r>
          </w:p>
          <w:p w:rsidR="00BA178E" w:rsidRPr="004E7FE0" w:rsidRDefault="004C3660" w:rsidP="004E7FE0">
            <w:pPr>
              <w:spacing w:line="360" w:lineRule="auto"/>
              <w:jc w:val="both"/>
              <w:rPr>
                <w:rFonts w:ascii="Times New Roman" w:hAnsi="Times New Roman" w:cs="Times New Roman"/>
                <w:b/>
              </w:rPr>
            </w:pPr>
            <w:r>
              <w:rPr>
                <w:rFonts w:ascii="Times New Roman" w:hAnsi="Times New Roman" w:cs="Times New Roman"/>
                <w:b/>
              </w:rPr>
              <w:t>JFN-2995</w:t>
            </w:r>
          </w:p>
        </w:tc>
        <w:tc>
          <w:tcPr>
            <w:tcW w:w="3600" w:type="dxa"/>
          </w:tcPr>
          <w:p w:rsidR="00BA178E" w:rsidRPr="004E7FE0" w:rsidRDefault="00E15C74" w:rsidP="004E7FE0">
            <w:pPr>
              <w:autoSpaceDE w:val="0"/>
              <w:autoSpaceDN w:val="0"/>
              <w:adjustRightInd w:val="0"/>
              <w:spacing w:after="0" w:line="360" w:lineRule="auto"/>
              <w:jc w:val="both"/>
              <w:rPr>
                <w:rFonts w:ascii="Times New Roman" w:hAnsi="Times New Roman" w:cs="Times New Roman"/>
                <w:b/>
                <w:bCs/>
                <w:lang w:val="en-GB"/>
              </w:rPr>
            </w:pPr>
            <w:r w:rsidRPr="004E7FE0">
              <w:rPr>
                <w:rFonts w:ascii="Times New Roman" w:hAnsi="Times New Roman" w:cs="Times New Roman"/>
                <w:b/>
                <w:bCs/>
                <w:lang w:val="en-GB"/>
              </w:rPr>
              <w:t>Author Name</w:t>
            </w:r>
          </w:p>
          <w:p w:rsidR="00BA178E" w:rsidRPr="004E7FE0" w:rsidRDefault="00BA178E" w:rsidP="004E7FE0">
            <w:pPr>
              <w:autoSpaceDE w:val="0"/>
              <w:autoSpaceDN w:val="0"/>
              <w:adjustRightInd w:val="0"/>
              <w:spacing w:after="0" w:line="360" w:lineRule="auto"/>
              <w:jc w:val="both"/>
              <w:rPr>
                <w:rFonts w:ascii="Times New Roman" w:hAnsi="Times New Roman" w:cs="Times New Roman"/>
                <w:b/>
              </w:rPr>
            </w:pPr>
          </w:p>
          <w:p w:rsidR="00BA178E" w:rsidRPr="004E7FE0" w:rsidRDefault="004C3660" w:rsidP="004E7FE0">
            <w:pPr>
              <w:autoSpaceDE w:val="0"/>
              <w:autoSpaceDN w:val="0"/>
              <w:adjustRightInd w:val="0"/>
              <w:spacing w:after="0" w:line="360" w:lineRule="auto"/>
              <w:jc w:val="both"/>
              <w:rPr>
                <w:rFonts w:ascii="Times New Roman" w:hAnsi="Times New Roman" w:cs="Times New Roman"/>
                <w:b/>
                <w:bCs/>
                <w:lang w:val="en-GB"/>
              </w:rPr>
            </w:pPr>
            <w:r w:rsidRPr="004C3660">
              <w:rPr>
                <w:rFonts w:ascii="Times New Roman" w:hAnsi="Times New Roman" w:cs="Times New Roman"/>
                <w:b/>
                <w:bCs/>
                <w:lang w:val="en-GB"/>
              </w:rPr>
              <w:t>Masutomi Hirofumi</w:t>
            </w:r>
          </w:p>
        </w:tc>
        <w:tc>
          <w:tcPr>
            <w:tcW w:w="3443" w:type="dxa"/>
          </w:tcPr>
          <w:p w:rsidR="00BA178E" w:rsidRPr="004E7FE0" w:rsidRDefault="00E15C74" w:rsidP="004E7FE0">
            <w:pPr>
              <w:spacing w:line="360" w:lineRule="auto"/>
              <w:jc w:val="both"/>
              <w:rPr>
                <w:rFonts w:ascii="Times New Roman" w:hAnsi="Times New Roman" w:cs="Times New Roman"/>
              </w:rPr>
            </w:pPr>
            <w:r w:rsidRPr="004E7FE0">
              <w:rPr>
                <w:rFonts w:ascii="Times New Roman" w:hAnsi="Times New Roman" w:cs="Times New Roman"/>
              </w:rPr>
              <w:t xml:space="preserve"> </w:t>
            </w:r>
          </w:p>
        </w:tc>
      </w:tr>
      <w:tr w:rsidR="00BA178E" w:rsidRPr="004E7FE0">
        <w:trPr>
          <w:trHeight w:val="413"/>
        </w:trPr>
        <w:tc>
          <w:tcPr>
            <w:tcW w:w="3062" w:type="dxa"/>
            <w:vAlign w:val="center"/>
          </w:tcPr>
          <w:p w:rsidR="00BA178E" w:rsidRPr="004E7FE0" w:rsidRDefault="00E15C74" w:rsidP="004E7FE0">
            <w:pPr>
              <w:spacing w:line="360" w:lineRule="auto"/>
              <w:jc w:val="both"/>
              <w:rPr>
                <w:rFonts w:ascii="Times New Roman" w:hAnsi="Times New Roman" w:cs="Times New Roman"/>
              </w:rPr>
            </w:pPr>
            <w:r w:rsidRPr="004E7FE0">
              <w:rPr>
                <w:rFonts w:ascii="Times New Roman" w:hAnsi="Times New Roman" w:cs="Times New Roman"/>
              </w:rPr>
              <w:t>Accept</w:t>
            </w:r>
          </w:p>
        </w:tc>
        <w:tc>
          <w:tcPr>
            <w:tcW w:w="3600" w:type="dxa"/>
            <w:vAlign w:val="center"/>
          </w:tcPr>
          <w:p w:rsidR="00BA178E" w:rsidRPr="004E7FE0" w:rsidRDefault="00E15C74" w:rsidP="004E7FE0">
            <w:pPr>
              <w:pStyle w:val="ListParagraph"/>
              <w:numPr>
                <w:ilvl w:val="0"/>
                <w:numId w:val="1"/>
              </w:numPr>
              <w:spacing w:line="360" w:lineRule="auto"/>
              <w:jc w:val="both"/>
              <w:rPr>
                <w:rFonts w:ascii="Times New Roman" w:hAnsi="Times New Roman" w:cs="Times New Roman"/>
                <w:b/>
              </w:rPr>
            </w:pPr>
            <w:r w:rsidRPr="004E7FE0">
              <w:rPr>
                <w:rFonts w:ascii="Times New Roman" w:hAnsi="Times New Roman" w:cs="Times New Roman"/>
                <w:b/>
              </w:rPr>
              <w:t>Minor Revision</w:t>
            </w:r>
          </w:p>
        </w:tc>
        <w:tc>
          <w:tcPr>
            <w:tcW w:w="3443" w:type="dxa"/>
            <w:vAlign w:val="center"/>
          </w:tcPr>
          <w:p w:rsidR="00BA178E" w:rsidRPr="004E7FE0" w:rsidRDefault="00E15C74" w:rsidP="004E7FE0">
            <w:pPr>
              <w:spacing w:line="360" w:lineRule="auto"/>
              <w:jc w:val="both"/>
              <w:rPr>
                <w:rFonts w:ascii="Times New Roman" w:hAnsi="Times New Roman" w:cs="Times New Roman"/>
              </w:rPr>
            </w:pPr>
            <w:r w:rsidRPr="004E7FE0">
              <w:rPr>
                <w:rFonts w:ascii="Times New Roman" w:hAnsi="Times New Roman" w:cs="Times New Roman"/>
              </w:rPr>
              <w:t>Major Revision</w:t>
            </w:r>
          </w:p>
        </w:tc>
      </w:tr>
      <w:tr w:rsidR="00BA178E" w:rsidRPr="004E7FE0">
        <w:trPr>
          <w:trHeight w:val="440"/>
        </w:trPr>
        <w:tc>
          <w:tcPr>
            <w:tcW w:w="3062" w:type="dxa"/>
            <w:vAlign w:val="center"/>
          </w:tcPr>
          <w:p w:rsidR="00BA178E" w:rsidRPr="004E7FE0" w:rsidRDefault="00E15C74" w:rsidP="004E7FE0">
            <w:pPr>
              <w:spacing w:line="360" w:lineRule="auto"/>
              <w:jc w:val="both"/>
              <w:rPr>
                <w:rFonts w:ascii="Times New Roman" w:hAnsi="Times New Roman" w:cs="Times New Roman"/>
              </w:rPr>
            </w:pPr>
            <w:r w:rsidRPr="004E7FE0">
              <w:rPr>
                <w:rFonts w:ascii="Times New Roman" w:hAnsi="Times New Roman" w:cs="Times New Roman"/>
              </w:rPr>
              <w:t>Reject</w:t>
            </w:r>
          </w:p>
        </w:tc>
        <w:tc>
          <w:tcPr>
            <w:tcW w:w="3600" w:type="dxa"/>
            <w:vAlign w:val="center"/>
          </w:tcPr>
          <w:p w:rsidR="00BA178E" w:rsidRPr="004E7FE0" w:rsidRDefault="00E15C74" w:rsidP="004E7FE0">
            <w:pPr>
              <w:spacing w:line="360" w:lineRule="auto"/>
              <w:jc w:val="both"/>
              <w:rPr>
                <w:rFonts w:ascii="Times New Roman" w:hAnsi="Times New Roman" w:cs="Times New Roman"/>
              </w:rPr>
            </w:pPr>
            <w:r w:rsidRPr="004E7FE0">
              <w:rPr>
                <w:rFonts w:ascii="Times New Roman" w:hAnsi="Times New Roman" w:cs="Times New Roman"/>
              </w:rPr>
              <w:t>Re-revision</w:t>
            </w:r>
          </w:p>
        </w:tc>
        <w:tc>
          <w:tcPr>
            <w:tcW w:w="3443" w:type="dxa"/>
            <w:vAlign w:val="center"/>
          </w:tcPr>
          <w:p w:rsidR="00BA178E" w:rsidRPr="004E7FE0" w:rsidRDefault="00E15C74" w:rsidP="004E7FE0">
            <w:pPr>
              <w:spacing w:line="360" w:lineRule="auto"/>
              <w:jc w:val="both"/>
              <w:rPr>
                <w:rFonts w:ascii="Times New Roman" w:hAnsi="Times New Roman" w:cs="Times New Roman"/>
              </w:rPr>
            </w:pPr>
            <w:r w:rsidRPr="004E7FE0">
              <w:rPr>
                <w:rFonts w:ascii="Times New Roman" w:hAnsi="Times New Roman" w:cs="Times New Roman"/>
              </w:rPr>
              <w:t>Poor Quality</w:t>
            </w:r>
          </w:p>
        </w:tc>
      </w:tr>
      <w:tr w:rsidR="00BA178E" w:rsidRPr="004E7FE0" w:rsidTr="00907B70">
        <w:trPr>
          <w:trHeight w:val="1408"/>
        </w:trPr>
        <w:tc>
          <w:tcPr>
            <w:tcW w:w="10105" w:type="dxa"/>
            <w:gridSpan w:val="3"/>
          </w:tcPr>
          <w:p w:rsidR="00B41270" w:rsidRPr="004E7FE0" w:rsidRDefault="00E15C74" w:rsidP="004E7FE0">
            <w:pPr>
              <w:spacing w:line="360" w:lineRule="auto"/>
              <w:jc w:val="both"/>
              <w:rPr>
                <w:rFonts w:ascii="Times New Roman" w:eastAsia="Times New Roman" w:hAnsi="Times New Roman" w:cs="Times New Roman"/>
                <w:b/>
                <w:bCs/>
                <w:shd w:val="clear" w:color="auto" w:fill="FFFFFF"/>
                <w:lang w:val="en-IN" w:eastAsia="en-IN"/>
              </w:rPr>
            </w:pPr>
            <w:r w:rsidRPr="004E7FE0">
              <w:rPr>
                <w:rFonts w:ascii="Times New Roman" w:eastAsia="Times New Roman" w:hAnsi="Times New Roman" w:cs="Times New Roman"/>
                <w:b/>
                <w:bCs/>
                <w:shd w:val="clear" w:color="auto" w:fill="FFFFFF"/>
                <w:lang w:val="en-IN" w:eastAsia="en-IN"/>
              </w:rPr>
              <w:t>Title:</w:t>
            </w:r>
            <w:r w:rsidR="00741C05" w:rsidRPr="004E7FE0">
              <w:rPr>
                <w:rFonts w:ascii="Times New Roman" w:hAnsi="Times New Roman" w:cs="Times New Roman"/>
                <w:b/>
                <w:bCs/>
                <w:shd w:val="clear" w:color="auto" w:fill="FFFFFF"/>
                <w:lang w:val="en-IN" w:eastAsia="en-IN"/>
              </w:rPr>
              <w:t xml:space="preserve"> </w:t>
            </w:r>
            <w:r w:rsidR="004C3660" w:rsidRPr="004C3660">
              <w:rPr>
                <w:rFonts w:ascii="Times New Roman" w:hAnsi="Times New Roman" w:cs="Times New Roman"/>
                <w:b/>
                <w:bCs/>
                <w:shd w:val="clear" w:color="auto" w:fill="FFFFFF"/>
                <w:lang w:val="en-IN" w:eastAsia="en-IN"/>
              </w:rPr>
              <w:t>Differences in anti-glycation activity depending on the part of sweet potato (Ipomoea batatas (L.) Lam.)</w:t>
            </w:r>
          </w:p>
          <w:p w:rsidR="00155DDD" w:rsidRDefault="00E15C74" w:rsidP="00155DDD">
            <w:pPr>
              <w:spacing w:line="360" w:lineRule="auto"/>
              <w:jc w:val="both"/>
              <w:rPr>
                <w:rFonts w:ascii="Times New Roman" w:hAnsi="Times New Roman" w:cs="Times New Roman"/>
              </w:rPr>
            </w:pPr>
            <w:r w:rsidRPr="0064012B">
              <w:rPr>
                <w:rFonts w:ascii="Times New Roman" w:eastAsia="Times New Roman" w:hAnsi="Times New Roman" w:cs="Times New Roman"/>
                <w:b/>
                <w:bCs/>
                <w:shd w:val="clear" w:color="auto" w:fill="FFFFFF"/>
                <w:lang w:val="en-IN" w:eastAsia="en-IN"/>
              </w:rPr>
              <w:t>General Comments from Reviewer</w:t>
            </w:r>
            <w:r w:rsidRPr="004E7FE0">
              <w:rPr>
                <w:rFonts w:ascii="Times New Roman" w:hAnsi="Times New Roman" w:cs="Times New Roman"/>
              </w:rPr>
              <w:t>:</w:t>
            </w:r>
            <w:r w:rsidR="006C39F3" w:rsidRPr="004E7FE0">
              <w:rPr>
                <w:rFonts w:ascii="Times New Roman" w:hAnsi="Times New Roman" w:cs="Times New Roman"/>
              </w:rPr>
              <w:t xml:space="preserve"> </w:t>
            </w:r>
            <w:r w:rsidR="0064012B" w:rsidRPr="0064012B">
              <w:rPr>
                <w:rFonts w:ascii="Times New Roman" w:hAnsi="Times New Roman" w:cs="Times New Roman"/>
              </w:rPr>
              <w:t>The manuscript thoroughly investigated the antiglycation effects of various sweet potato parts using different extraction solvents. The study met all technical requirements, including appropriate methods, and contributes to the research on food-based antiglycation compounds. In particular, it is noteworthy that chlorogenic acid derivatives were investigated as well as their role in preventing glycation. In addition, however, the manuscript needs to be made shorter, restructured, improved clarity, presentation of data and reference to previous scientific work, it is recommended that moderate revision is needed prior to publishing.</w:t>
            </w:r>
          </w:p>
          <w:p w:rsidR="0064012B" w:rsidRDefault="0064012B" w:rsidP="0064012B">
            <w:pPr>
              <w:pStyle w:val="ListParagraph"/>
              <w:numPr>
                <w:ilvl w:val="0"/>
                <w:numId w:val="6"/>
              </w:numPr>
              <w:spacing w:line="360" w:lineRule="auto"/>
              <w:jc w:val="both"/>
              <w:rPr>
                <w:rFonts w:ascii="Times New Roman" w:hAnsi="Times New Roman" w:cs="Times New Roman"/>
              </w:rPr>
            </w:pPr>
            <w:r w:rsidRPr="0064012B">
              <w:rPr>
                <w:rFonts w:ascii="Times New Roman" w:hAnsi="Times New Roman" w:cs="Times New Roman"/>
              </w:rPr>
              <w:t>The research includes evaluation of the lesser-known sweet potato parts (leaves, stems, non-storage roots), with respect to their potential for reducing food waste while developing functional ingredients from these plant materials. Antiglycation activity, as measured between the different tissues and various solvents, has not been widely reported.</w:t>
            </w:r>
          </w:p>
          <w:p w:rsidR="0064012B" w:rsidRPr="0064012B" w:rsidRDefault="0064012B" w:rsidP="0064012B">
            <w:pPr>
              <w:pStyle w:val="ListParagraph"/>
              <w:numPr>
                <w:ilvl w:val="0"/>
                <w:numId w:val="6"/>
              </w:numPr>
              <w:spacing w:line="360" w:lineRule="auto"/>
              <w:jc w:val="both"/>
              <w:rPr>
                <w:rFonts w:ascii="Times New Roman" w:hAnsi="Times New Roman" w:cs="Times New Roman"/>
              </w:rPr>
            </w:pPr>
            <w:r w:rsidRPr="0064012B">
              <w:rPr>
                <w:rFonts w:ascii="Times New Roman" w:hAnsi="Times New Roman" w:cs="Times New Roman"/>
              </w:rPr>
              <w:t>A wide variety of eight types of solvents were utilized for extraction of the phenolic composition and antiglycation activity of the sweet potato parts. The use of 32 different extract types adds a level of thoroughness and scientific credibility to the comparative analyses of both the solvent-dependent phenolic profiles and the antiglycation activity.</w:t>
            </w:r>
          </w:p>
          <w:p w:rsidR="0064012B" w:rsidRDefault="0064012B" w:rsidP="0064012B">
            <w:pPr>
              <w:pStyle w:val="ListParagraph"/>
              <w:numPr>
                <w:ilvl w:val="0"/>
                <w:numId w:val="6"/>
              </w:numPr>
              <w:spacing w:line="360" w:lineRule="auto"/>
              <w:jc w:val="both"/>
              <w:rPr>
                <w:rFonts w:ascii="Times New Roman" w:hAnsi="Times New Roman" w:cs="Times New Roman"/>
              </w:rPr>
            </w:pPr>
            <w:r w:rsidRPr="0064012B">
              <w:rPr>
                <w:rFonts w:ascii="Times New Roman" w:hAnsi="Times New Roman" w:cs="Times New Roman"/>
              </w:rPr>
              <w:t>The author has written a highly informative and lengthy introduction on the various aspects of AGEs and polyphenols. The introduction could be condensed significantly by omitting repetitive descriptions and putting the focus on the knowledge void that this investigation fills.</w:t>
            </w:r>
          </w:p>
          <w:p w:rsidR="00155DDD" w:rsidRPr="004C3660" w:rsidRDefault="00155DDD" w:rsidP="0064012B">
            <w:pPr>
              <w:pStyle w:val="ListParagraph"/>
              <w:numPr>
                <w:ilvl w:val="0"/>
                <w:numId w:val="6"/>
              </w:numPr>
              <w:spacing w:line="360" w:lineRule="auto"/>
              <w:jc w:val="both"/>
              <w:rPr>
                <w:rFonts w:ascii="Times New Roman" w:hAnsi="Times New Roman" w:cs="Times New Roman"/>
              </w:rPr>
            </w:pPr>
            <w:r w:rsidRPr="004C3660">
              <w:rPr>
                <w:rFonts w:ascii="Times New Roman" w:hAnsi="Times New Roman" w:cs="Times New Roman"/>
              </w:rPr>
              <w:t>Reagent purity and units are well defined, but extraction temperature and storage stability conditions could be more explicitly stated.</w:t>
            </w:r>
            <w:r>
              <w:t xml:space="preserve"> </w:t>
            </w:r>
            <w:r w:rsidRPr="004C3660">
              <w:rPr>
                <w:rFonts w:ascii="Times New Roman" w:hAnsi="Times New Roman" w:cs="Times New Roman"/>
              </w:rPr>
              <w:t xml:space="preserve">Clarify if extracts were tested at identical concentrations when comparing activity across solvents. </w:t>
            </w:r>
          </w:p>
          <w:p w:rsidR="0064012B" w:rsidRDefault="0064012B" w:rsidP="0064012B">
            <w:pPr>
              <w:pStyle w:val="ListParagraph"/>
              <w:numPr>
                <w:ilvl w:val="0"/>
                <w:numId w:val="6"/>
              </w:numPr>
              <w:spacing w:line="360" w:lineRule="auto"/>
              <w:jc w:val="both"/>
              <w:rPr>
                <w:rFonts w:ascii="Times New Roman" w:hAnsi="Times New Roman" w:cs="Times New Roman"/>
              </w:rPr>
            </w:pPr>
            <w:r w:rsidRPr="0064012B">
              <w:rPr>
                <w:rFonts w:ascii="Times New Roman" w:hAnsi="Times New Roman" w:cs="Times New Roman"/>
              </w:rPr>
              <w:t>The purity and unit of measurement of each reagent should be clearly defined. The extraction temperature and stability during storage also need to be defined. It should be stated that extracts were tested at the same concentration for comparison of activity among solvents.</w:t>
            </w:r>
          </w:p>
          <w:p w:rsidR="0064012B" w:rsidRDefault="0064012B" w:rsidP="0064012B">
            <w:pPr>
              <w:pStyle w:val="ListParagraph"/>
              <w:numPr>
                <w:ilvl w:val="0"/>
                <w:numId w:val="6"/>
              </w:numPr>
              <w:spacing w:line="360" w:lineRule="auto"/>
              <w:jc w:val="both"/>
              <w:rPr>
                <w:rFonts w:ascii="Times New Roman" w:hAnsi="Times New Roman" w:cs="Times New Roman"/>
              </w:rPr>
            </w:pPr>
            <w:bookmarkStart w:id="0" w:name="_GoBack"/>
            <w:bookmarkEnd w:id="0"/>
            <w:r w:rsidRPr="0064012B">
              <w:rPr>
                <w:rFonts w:ascii="Times New Roman" w:hAnsi="Times New Roman" w:cs="Times New Roman"/>
              </w:rPr>
              <w:lastRenderedPageBreak/>
              <w:t>Although the conclusion is informative, it could be made more concise while still conveying the major findings (diCQA as the major contributor), as well as future applications of this finding for the development of functional foods and biological availability studies.</w:t>
            </w:r>
          </w:p>
          <w:p w:rsidR="00BA178E" w:rsidRPr="004E7FE0" w:rsidRDefault="00E15C74" w:rsidP="00155DDD">
            <w:pPr>
              <w:spacing w:line="360" w:lineRule="auto"/>
              <w:jc w:val="both"/>
              <w:rPr>
                <w:rFonts w:ascii="Times New Roman" w:hAnsi="Times New Roman" w:cs="Times New Roman"/>
              </w:rPr>
            </w:pPr>
            <w:r w:rsidRPr="004E7FE0">
              <w:rPr>
                <w:rFonts w:ascii="Times New Roman" w:eastAsia="Times New Roman" w:hAnsi="Times New Roman" w:cs="Times New Roman"/>
                <w:bCs/>
                <w:shd w:val="clear" w:color="auto" w:fill="FFFFFF"/>
                <w:lang w:val="en-IN" w:eastAsia="en-IN"/>
              </w:rPr>
              <w:t>The article can be published after m</w:t>
            </w:r>
            <w:r w:rsidR="00907B70" w:rsidRPr="004E7FE0">
              <w:rPr>
                <w:rFonts w:ascii="Times New Roman" w:eastAsia="Times New Roman" w:hAnsi="Times New Roman" w:cs="Times New Roman"/>
                <w:bCs/>
                <w:shd w:val="clear" w:color="auto" w:fill="FFFFFF"/>
                <w:lang w:val="en-IN" w:eastAsia="en-IN"/>
              </w:rPr>
              <w:t>in</w:t>
            </w:r>
            <w:r w:rsidR="00007AD1" w:rsidRPr="004E7FE0">
              <w:rPr>
                <w:rFonts w:ascii="Times New Roman" w:eastAsia="Times New Roman" w:hAnsi="Times New Roman" w:cs="Times New Roman"/>
                <w:bCs/>
                <w:shd w:val="clear" w:color="auto" w:fill="FFFFFF"/>
                <w:lang w:val="en-IN" w:eastAsia="en-IN"/>
              </w:rPr>
              <w:t>or</w:t>
            </w:r>
            <w:r w:rsidRPr="004E7FE0">
              <w:rPr>
                <w:rFonts w:ascii="Times New Roman" w:eastAsia="Times New Roman" w:hAnsi="Times New Roman" w:cs="Times New Roman"/>
                <w:bCs/>
                <w:shd w:val="clear" w:color="auto" w:fill="FFFFFF"/>
                <w:lang w:val="en-IN" w:eastAsia="en-IN"/>
              </w:rPr>
              <w:t xml:space="preserve"> revision.</w:t>
            </w:r>
          </w:p>
        </w:tc>
      </w:tr>
    </w:tbl>
    <w:p w:rsidR="00BA178E" w:rsidRPr="004E7FE0" w:rsidRDefault="00BA178E" w:rsidP="004E7FE0">
      <w:pPr>
        <w:spacing w:line="360" w:lineRule="auto"/>
        <w:jc w:val="both"/>
        <w:rPr>
          <w:rFonts w:ascii="Times New Roman" w:hAnsi="Times New Roman" w:cs="Times New Roman"/>
        </w:rPr>
      </w:pPr>
    </w:p>
    <w:sectPr w:rsidR="00BA178E" w:rsidRPr="004E7F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A53" w:rsidRDefault="00692A53">
      <w:pPr>
        <w:spacing w:line="240" w:lineRule="auto"/>
      </w:pPr>
      <w:r>
        <w:separator/>
      </w:r>
    </w:p>
  </w:endnote>
  <w:endnote w:type="continuationSeparator" w:id="0">
    <w:p w:rsidR="00692A53" w:rsidRDefault="00692A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A53" w:rsidRDefault="00692A53">
      <w:pPr>
        <w:spacing w:after="0"/>
      </w:pPr>
      <w:r>
        <w:separator/>
      </w:r>
    </w:p>
  </w:footnote>
  <w:footnote w:type="continuationSeparator" w:id="0">
    <w:p w:rsidR="00692A53" w:rsidRDefault="00692A5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32E717F"/>
    <w:multiLevelType w:val="hybridMultilevel"/>
    <w:tmpl w:val="ECF66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5F4EA1"/>
    <w:multiLevelType w:val="hybridMultilevel"/>
    <w:tmpl w:val="84FC3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1"/>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0E76"/>
    <w:rsid w:val="00145DA8"/>
    <w:rsid w:val="001465B5"/>
    <w:rsid w:val="00146BD2"/>
    <w:rsid w:val="001477C2"/>
    <w:rsid w:val="001477CF"/>
    <w:rsid w:val="00150B59"/>
    <w:rsid w:val="00153366"/>
    <w:rsid w:val="00154E21"/>
    <w:rsid w:val="00155DDD"/>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AF"/>
    <w:rsid w:val="001A53D6"/>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3B"/>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26B9A"/>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2769"/>
    <w:rsid w:val="003B3B6C"/>
    <w:rsid w:val="003B417E"/>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3660"/>
    <w:rsid w:val="004C6967"/>
    <w:rsid w:val="004C7C9C"/>
    <w:rsid w:val="004D288A"/>
    <w:rsid w:val="004D2FD4"/>
    <w:rsid w:val="004D31F1"/>
    <w:rsid w:val="004D6562"/>
    <w:rsid w:val="004D7F04"/>
    <w:rsid w:val="004E3446"/>
    <w:rsid w:val="004E3CC9"/>
    <w:rsid w:val="004E3E42"/>
    <w:rsid w:val="004E6164"/>
    <w:rsid w:val="004E685A"/>
    <w:rsid w:val="004E69FE"/>
    <w:rsid w:val="004E7FE0"/>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4F41"/>
    <w:rsid w:val="00575594"/>
    <w:rsid w:val="00575C77"/>
    <w:rsid w:val="005769A4"/>
    <w:rsid w:val="00576D4A"/>
    <w:rsid w:val="00577D4C"/>
    <w:rsid w:val="0058008F"/>
    <w:rsid w:val="00580AEC"/>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2B"/>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2A53"/>
    <w:rsid w:val="00694802"/>
    <w:rsid w:val="006957AC"/>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39F3"/>
    <w:rsid w:val="006C46F5"/>
    <w:rsid w:val="006C4A07"/>
    <w:rsid w:val="006C5ACB"/>
    <w:rsid w:val="006C6349"/>
    <w:rsid w:val="006D078A"/>
    <w:rsid w:val="006D1CAB"/>
    <w:rsid w:val="006D1E4A"/>
    <w:rsid w:val="006D2F34"/>
    <w:rsid w:val="006D4B00"/>
    <w:rsid w:val="006D5594"/>
    <w:rsid w:val="006D5A05"/>
    <w:rsid w:val="006D5D7A"/>
    <w:rsid w:val="006D73E0"/>
    <w:rsid w:val="006E155C"/>
    <w:rsid w:val="006E4F78"/>
    <w:rsid w:val="006E6A77"/>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6C6"/>
    <w:rsid w:val="009359DF"/>
    <w:rsid w:val="00937C69"/>
    <w:rsid w:val="009405AD"/>
    <w:rsid w:val="00940DDA"/>
    <w:rsid w:val="00942D4E"/>
    <w:rsid w:val="00944D35"/>
    <w:rsid w:val="009452B0"/>
    <w:rsid w:val="009455E2"/>
    <w:rsid w:val="009474F3"/>
    <w:rsid w:val="00952617"/>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0B9A"/>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BEC"/>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3BE"/>
    <w:rsid w:val="00B358EB"/>
    <w:rsid w:val="00B35DAB"/>
    <w:rsid w:val="00B36778"/>
    <w:rsid w:val="00B36982"/>
    <w:rsid w:val="00B36F84"/>
    <w:rsid w:val="00B401E7"/>
    <w:rsid w:val="00B41239"/>
    <w:rsid w:val="00B41270"/>
    <w:rsid w:val="00B42739"/>
    <w:rsid w:val="00B47AE6"/>
    <w:rsid w:val="00B51458"/>
    <w:rsid w:val="00B52C96"/>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6BAB"/>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3728"/>
    <w:rsid w:val="00BE3B09"/>
    <w:rsid w:val="00BE3DAF"/>
    <w:rsid w:val="00BE4DF5"/>
    <w:rsid w:val="00BF09C7"/>
    <w:rsid w:val="00BF0F76"/>
    <w:rsid w:val="00BF199D"/>
    <w:rsid w:val="00BF1C58"/>
    <w:rsid w:val="00BF68C5"/>
    <w:rsid w:val="00BF72AF"/>
    <w:rsid w:val="00C00837"/>
    <w:rsid w:val="00C0320B"/>
    <w:rsid w:val="00C069F3"/>
    <w:rsid w:val="00C10651"/>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40FC"/>
    <w:rsid w:val="00D9547D"/>
    <w:rsid w:val="00D96AA7"/>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1A17"/>
    <w:rsid w:val="00E1566B"/>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3D9"/>
    <w:rsid w:val="00EE4B5E"/>
    <w:rsid w:val="00EE5244"/>
    <w:rsid w:val="00EE6C65"/>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3BFB"/>
    <w:rsid w:val="00F941CC"/>
    <w:rsid w:val="00F94709"/>
    <w:rsid w:val="00F957B3"/>
    <w:rsid w:val="00F9688A"/>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0023444">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65956657">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054120">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78618077">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1189420">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89581660">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4288894">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7490052">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4333639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4420B-F9EF-41A5-AAC1-E4EB7154B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4</cp:revision>
  <dcterms:created xsi:type="dcterms:W3CDTF">2025-11-26T07:19:00Z</dcterms:created>
  <dcterms:modified xsi:type="dcterms:W3CDTF">2025-11-27T14:00:00Z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